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  <w:color w:val="000000"/>
          <w:sz w:val="44"/>
          <w:szCs w:val="44"/>
          <w:lang w:eastAsia="ja-jp"/>
        </w:rPr>
      </w:pPr>
      <w:r>
        <w:rPr>
          <w:b/>
          <w:color w:val="000000"/>
          <w:sz w:val="44"/>
          <w:szCs w:val="44"/>
          <w:lang w:eastAsia="ja-jp"/>
        </w:rPr>
        <w:t xml:space="preserve">Accompagnement personnalisé </w:t>
      </w:r>
    </w:p>
    <w:p>
      <w:pPr>
        <w:spacing/>
        <w:jc w:val="center"/>
        <w:rPr>
          <w:b/>
          <w:color w:val="000000"/>
          <w:sz w:val="36"/>
          <w:szCs w:val="44"/>
          <w:lang w:eastAsia="ja-jp"/>
        </w:rPr>
      </w:pPr>
      <w:r>
        <w:rPr>
          <w:b/>
          <w:color w:val="000000"/>
          <w:sz w:val="36"/>
          <w:szCs w:val="44"/>
          <w:lang w:eastAsia="ja-jp"/>
        </w:rPr>
        <w:t>Grille de suivi /action</w:t>
      </w:r>
    </w:p>
    <w:tbl>
      <w:tblPr>
        <w:name w:val="Tableau1"/>
        <w:tabOrder w:val="0"/>
        <w:jc w:val="left"/>
        <w:tblInd w:w="0" w:type="dxa"/>
        <w:tblW w:w="8500" w:type="dxa"/>
      </w:tblPr>
      <w:tblGrid>
        <w:gridCol w:w="1431"/>
        <w:gridCol w:w="2675"/>
        <w:gridCol w:w="4394"/>
      </w:tblGrid>
      <w:tr>
        <w:trPr>
          <w:trHeight w:val="0" w:hRule="auto"/>
        </w:trPr>
        <w:tc>
          <w:tcPr>
            <w:tcW w:w="4106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jc w:val="right"/>
              <w:rPr>
                <w:b/>
                <w:color w:val="000000"/>
                <w:sz w:val="24"/>
                <w:szCs w:val="44"/>
                <w:lang w:eastAsia="ja-jp"/>
              </w:rPr>
            </w:pPr>
            <w:r>
              <w:rPr>
                <w:b/>
                <w:color w:val="000000"/>
                <w:sz w:val="24"/>
                <w:szCs w:val="44"/>
                <w:lang w:eastAsia="ja-jp"/>
              </w:rPr>
              <w:t>CLASSE 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TGA - TVTE</w:t>
            </w:r>
          </w:p>
        </w:tc>
      </w:tr>
      <w:tr>
        <w:trPr>
          <w:trHeight w:val="0" w:hRule="auto"/>
        </w:trPr>
        <w:tc>
          <w:tcPr>
            <w:tcW w:w="1431" w:type="dxa"/>
            <w:vMerge w:val="restart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ind w:left="113" w:right="113"/>
              <w:spacing w:after="0" w:line="240" w:lineRule="auto"/>
              <w:jc w:val="center"/>
              <w:rPr>
                <w:b/>
                <w:color w:val="000000"/>
                <w:sz w:val="32"/>
                <w:szCs w:val="44"/>
                <w:lang w:eastAsia="ja-jp"/>
              </w:rPr>
            </w:pPr>
            <w:r>
              <w:rPr>
                <w:b/>
                <w:color w:val="000000"/>
                <w:sz w:val="36"/>
                <w:szCs w:val="44"/>
                <w:lang w:eastAsia="ja-jp"/>
              </w:rPr>
              <w:t>Phase 1 </w:t>
            </w:r>
            <w:r>
              <w:rPr>
                <w:b/>
                <w:color w:val="000000"/>
                <w:sz w:val="32"/>
                <w:szCs w:val="44"/>
                <w:lang w:eastAsia="ja-jp"/>
              </w:rPr>
              <w:t xml:space="preserve"> </w:t>
            </w:r>
            <w:r>
              <w:rPr>
                <w:b/>
                <w:color w:val="000000"/>
                <w:sz w:val="32"/>
                <w:szCs w:val="44"/>
                <w:lang w:eastAsia="ja-jp"/>
              </w:rPr>
            </w:r>
          </w:p>
          <w:p>
            <w:pPr>
              <w:ind w:left="113" w:right="113"/>
              <w:spacing w:after="0" w:line="240" w:lineRule="auto"/>
              <w:jc w:val="center"/>
              <w:rPr>
                <w:b/>
                <w:color w:val="000000"/>
                <w:sz w:val="40"/>
                <w:szCs w:val="44"/>
                <w:lang w:eastAsia="ja-jp"/>
              </w:rPr>
            </w:pPr>
            <w:r>
              <w:rPr>
                <w:b/>
                <w:color w:val="000000"/>
                <w:sz w:val="32"/>
                <w:szCs w:val="44"/>
                <w:lang w:eastAsia="ja-jp"/>
              </w:rPr>
              <w:t>mise en oeuvre</w:t>
            </w:r>
            <w:r>
              <w:rPr>
                <w:b/>
                <w:color w:val="000000"/>
                <w:sz w:val="40"/>
                <w:szCs w:val="44"/>
                <w:lang w:eastAsia="ja-jp"/>
              </w:rPr>
            </w:r>
          </w:p>
          <w:p>
            <w:pPr>
              <w:ind w:left="113" w:right="113"/>
              <w:spacing w:after="0" w:line="240" w:lineRule="auto"/>
              <w:rPr>
                <w:b/>
                <w:color w:val="000000"/>
                <w:sz w:val="24"/>
                <w:szCs w:val="44"/>
                <w:lang w:eastAsia="ja-jp"/>
              </w:rPr>
            </w:pPr>
            <w:r>
              <w:rPr>
                <w:b/>
                <w:color w:val="000000"/>
                <w:sz w:val="24"/>
                <w:szCs w:val="44"/>
                <w:lang w:eastAsia="ja-jp"/>
              </w:rPr>
            </w:r>
          </w:p>
        </w:tc>
        <w:tc>
          <w:tcPr>
            <w:tcW w:w="2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rPr>
                <w:b/>
                <w:color w:val="000000"/>
                <w:sz w:val="24"/>
                <w:szCs w:val="44"/>
                <w:lang w:eastAsia="ja-jp"/>
              </w:rPr>
            </w:pPr>
            <w:r>
              <w:rPr>
                <w:b/>
                <w:color w:val="000000"/>
                <w:sz w:val="24"/>
                <w:szCs w:val="44"/>
                <w:lang w:eastAsia="ja-jp"/>
              </w:rPr>
              <w:t>Groupes d’élèves concernés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VILELA Ludivine (TGA2)</w:t>
            </w:r>
          </w:p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PROUVOST Aurélien (TGA2)</w:t>
            </w:r>
          </w:p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PIN Céline (TGA2)</w:t>
            </w:r>
          </w:p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KHIAM Schania (TGA1)</w:t>
            </w:r>
          </w:p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DIOGO Clara (TVTE)</w:t>
            </w:r>
          </w:p>
        </w:tc>
      </w:tr>
      <w:tr>
        <w:trPr>
          <w:trHeight w:val="0" w:hRule="auto"/>
        </w:trPr>
        <w:tc>
          <w:tcPr>
            <w:tcW w:w="14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/>
        </w:tc>
        <w:tc>
          <w:tcPr>
            <w:tcW w:w="2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rPr>
                <w:b/>
                <w:color w:val="000000"/>
                <w:sz w:val="24"/>
                <w:szCs w:val="44"/>
                <w:lang w:eastAsia="ja-jp"/>
              </w:rPr>
            </w:pPr>
            <w:r>
              <w:rPr>
                <w:b/>
                <w:color w:val="000000"/>
                <w:sz w:val="24"/>
                <w:szCs w:val="44"/>
                <w:lang w:eastAsia="ja-jp"/>
              </w:rPr>
              <w:t>Professeurs /personnels encadrants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M. GLEIZES</w:t>
            </w:r>
          </w:p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Mme VESSILLIER (à partir du 01/02)</w:t>
            </w:r>
          </w:p>
        </w:tc>
      </w:tr>
      <w:tr>
        <w:trPr>
          <w:trHeight w:val="0" w:hRule="auto"/>
        </w:trPr>
        <w:tc>
          <w:tcPr>
            <w:tcW w:w="14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/>
        </w:tc>
        <w:tc>
          <w:tcPr>
            <w:tcW w:w="2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rPr>
                <w:b/>
                <w:color w:val="000000"/>
                <w:sz w:val="24"/>
                <w:szCs w:val="44"/>
                <w:lang w:eastAsia="ja-jp"/>
              </w:rPr>
            </w:pPr>
            <w:r>
              <w:rPr>
                <w:b/>
                <w:color w:val="000000"/>
                <w:sz w:val="24"/>
                <w:szCs w:val="44"/>
                <w:lang w:eastAsia="ja-jp"/>
              </w:rPr>
              <w:t>Dates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11/01, 25/01, 01/02, 08/02, 15/02, 08/03, 15/03</w:t>
            </w:r>
          </w:p>
        </w:tc>
      </w:tr>
      <w:tr>
        <w:trPr>
          <w:trHeight w:val="0" w:hRule="auto"/>
        </w:trPr>
        <w:tc>
          <w:tcPr>
            <w:tcW w:w="14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/>
        </w:tc>
        <w:tc>
          <w:tcPr>
            <w:tcW w:w="2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rPr>
                <w:b/>
                <w:color w:val="000000"/>
                <w:sz w:val="24"/>
                <w:szCs w:val="44"/>
                <w:lang w:eastAsia="ja-jp"/>
              </w:rPr>
            </w:pPr>
            <w:r>
              <w:rPr>
                <w:b/>
                <w:color w:val="000000"/>
                <w:sz w:val="24"/>
                <w:szCs w:val="44"/>
                <w:lang w:eastAsia="ja-jp"/>
              </w:rPr>
              <w:t>Intitulé de l’action/projet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préparation et entraînements à l’immersion professionnelle à l’étranger (Erasmus+)</w:t>
            </w:r>
          </w:p>
        </w:tc>
      </w:tr>
      <w:tr>
        <w:trPr>
          <w:trHeight w:val="0" w:hRule="auto"/>
        </w:trPr>
        <w:tc>
          <w:tcPr>
            <w:tcW w:w="1431" w:type="dxa"/>
            <w:vMerge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/>
        </w:tc>
        <w:tc>
          <w:tcPr>
            <w:tcW w:w="2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rPr>
                <w:b/>
                <w:color w:val="000000"/>
                <w:sz w:val="24"/>
                <w:szCs w:val="44"/>
                <w:lang w:eastAsia="ja-jp"/>
              </w:rPr>
            </w:pPr>
            <w:r>
              <w:rPr>
                <w:b/>
                <w:color w:val="000000"/>
                <w:sz w:val="24"/>
                <w:szCs w:val="44"/>
                <w:lang w:eastAsia="ja-jp"/>
              </w:rPr>
              <w:t>Objectifs disciplinaires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S’adapter, découvrir une nouvelle culture</w:t>
            </w:r>
          </w:p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Découvrir et s’intégrer dans un nouvel univers professionnel</w:t>
            </w:r>
          </w:p>
        </w:tc>
      </w:tr>
      <w:tr>
        <w:trPr>
          <w:trHeight w:val="358" w:hRule="atLeast"/>
        </w:trPr>
        <w:tc>
          <w:tcPr>
            <w:tcW w:w="14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/>
        </w:tc>
        <w:tc>
          <w:tcPr>
            <w:tcW w:w="2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rPr>
                <w:b/>
                <w:color w:val="000000"/>
                <w:sz w:val="24"/>
                <w:szCs w:val="44"/>
                <w:lang w:eastAsia="ja-jp"/>
              </w:rPr>
            </w:pPr>
            <w:r>
              <w:rPr>
                <w:b/>
                <w:color w:val="000000"/>
                <w:sz w:val="24"/>
                <w:szCs w:val="44"/>
                <w:lang w:eastAsia="ja-jp"/>
              </w:rPr>
              <w:t>Objectifs transversaux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Utiliser la langue comme outil professionnel</w:t>
            </w:r>
          </w:p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Adapter les pratiques professionnelles françaises à l’étranger.</w:t>
            </w:r>
          </w:p>
        </w:tc>
      </w:tr>
      <w:tr>
        <w:trPr>
          <w:trHeight w:val="823" w:hRule="atLeast"/>
        </w:trPr>
        <w:tc>
          <w:tcPr>
            <w:tcW w:w="14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/>
        </w:tc>
        <w:tc>
          <w:tcPr>
            <w:tcW w:w="2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rPr>
                <w:b/>
                <w:color w:val="000000"/>
                <w:sz w:val="24"/>
                <w:szCs w:val="44"/>
                <w:lang w:eastAsia="ja-jp"/>
              </w:rPr>
            </w:pPr>
            <w:r>
              <w:rPr>
                <w:b/>
                <w:color w:val="000000"/>
                <w:sz w:val="24"/>
                <w:szCs w:val="44"/>
                <w:lang w:eastAsia="ja-jp"/>
              </w:rPr>
              <w:t>Descriptif succinct des séances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S1 : Présentation générale: Culture, Histoire, Temps, climat</w:t>
            </w:r>
          </w:p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S2 : Présentation des familles d’accueil, études des transports en commun, des trajets famille-travail. </w:t>
            </w:r>
          </w:p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S3 : Mise en situations: Scénette de présentations avec les familles d’accueil</w:t>
            </w:r>
          </w:p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S4-S5 : Mise en situations: Scénettes sur le lieu de travail: des taches spécifiques aux entreprises étrangères seront demandées aux élèves. </w:t>
            </w:r>
          </w:p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S6-S7 : Dernier briefing, remise des lettres aux familles contenant toutes les informations pratiques, remise des pochettes Erasmus+ aux élèves, présentation des dossiers. </w:t>
            </w:r>
          </w:p>
        </w:tc>
      </w:tr>
      <w:tr>
        <w:trPr>
          <w:trHeight w:val="431" w:hRule="atLeast"/>
        </w:trPr>
        <w:tc>
          <w:tcPr>
            <w:tcW w:w="14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/>
        </w:tc>
        <w:tc>
          <w:tcPr>
            <w:tcW w:w="2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rPr>
                <w:b/>
                <w:color w:val="000000"/>
                <w:sz w:val="24"/>
                <w:szCs w:val="44"/>
                <w:lang w:eastAsia="ja-jp"/>
              </w:rPr>
            </w:pPr>
            <w:r>
              <w:rPr>
                <w:b/>
                <w:color w:val="000000"/>
                <w:sz w:val="24"/>
                <w:szCs w:val="44"/>
                <w:lang w:eastAsia="ja-jp"/>
              </w:rPr>
              <w:t>Salles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>
        <w:trPr>
          <w:trHeight w:val="693" w:hRule="atLeast"/>
        </w:trPr>
        <w:tc>
          <w:tcPr>
            <w:tcW w:w="14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/>
        </w:tc>
        <w:tc>
          <w:tcPr>
            <w:tcW w:w="2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rPr>
                <w:b/>
                <w:color w:val="000000"/>
                <w:sz w:val="24"/>
                <w:szCs w:val="44"/>
                <w:lang w:eastAsia="ja-jp"/>
              </w:rPr>
            </w:pPr>
            <w:r>
              <w:rPr>
                <w:b/>
                <w:color w:val="000000"/>
                <w:sz w:val="24"/>
                <w:szCs w:val="44"/>
                <w:lang w:eastAsia="ja-jp"/>
              </w:rPr>
              <w:t>Besoins de matériels spécifiques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711" w:hRule="atLeast"/>
        </w:trPr>
        <w:tc>
          <w:tcPr>
            <w:tcW w:w="14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/>
        </w:tc>
        <w:tc>
          <w:tcPr>
            <w:tcW w:w="2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rPr>
                <w:b/>
                <w:color w:val="000000"/>
                <w:sz w:val="24"/>
                <w:szCs w:val="44"/>
                <w:lang w:eastAsia="ja-jp"/>
              </w:rPr>
            </w:pPr>
            <w:r>
              <w:rPr>
                <w:b/>
                <w:color w:val="000000"/>
                <w:sz w:val="24"/>
                <w:szCs w:val="44"/>
                <w:lang w:eastAsia="ja-jp"/>
              </w:rPr>
              <w:t>Production(s) attendue(s)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Productions orales;</w:t>
            </w:r>
          </w:p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Rédaction des dossiers Erasmus+;</w:t>
            </w:r>
          </w:p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Rédaction d’un rapport de stage en langue étrangère;</w:t>
            </w:r>
          </w:p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Rédaction du questionnaire Europass Mobilité</w:t>
            </w:r>
          </w:p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4" w:hRule="atLeast"/>
        </w:trPr>
        <w:tc>
          <w:tcPr>
            <w:tcW w:w="1431" w:type="dxa"/>
            <w:vMerge w:val="restart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ind w:left="113" w:right="113"/>
              <w:spacing w:after="0" w:line="240" w:lineRule="auto"/>
              <w:jc w:val="center"/>
              <w:rPr>
                <w:b/>
                <w:color w:val="000000"/>
                <w:sz w:val="24"/>
                <w:szCs w:val="44"/>
                <w:lang w:eastAsia="ja-jp"/>
              </w:rPr>
            </w:pPr>
            <w:r>
              <w:rPr>
                <w:b/>
                <w:color w:val="000000"/>
                <w:sz w:val="36"/>
                <w:szCs w:val="44"/>
                <w:lang w:eastAsia="ja-jp"/>
              </w:rPr>
              <w:t xml:space="preserve">Phase 2 </w:t>
            </w:r>
            <w:r>
              <w:rPr>
                <w:b/>
                <w:color w:val="000000"/>
                <w:sz w:val="28"/>
                <w:szCs w:val="44"/>
                <w:lang w:eastAsia="ja-jp"/>
              </w:rPr>
              <w:t>évaluation</w:t>
            </w:r>
            <w:r>
              <w:rPr>
                <w:b/>
                <w:color w:val="000000"/>
                <w:sz w:val="24"/>
                <w:szCs w:val="44"/>
                <w:lang w:eastAsia="ja-jp"/>
              </w:rPr>
            </w:r>
          </w:p>
        </w:tc>
        <w:tc>
          <w:tcPr>
            <w:tcW w:w="2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rPr>
                <w:b/>
                <w:i/>
                <w:color w:val="000000"/>
                <w:sz w:val="24"/>
                <w:szCs w:val="44"/>
                <w:lang w:eastAsia="ja-jp"/>
              </w:rPr>
            </w:pPr>
            <w:r>
              <w:rPr>
                <w:b/>
                <w:i/>
                <w:color w:val="000000"/>
                <w:sz w:val="24"/>
                <w:szCs w:val="44"/>
                <w:lang w:eastAsia="ja-jp"/>
              </w:rPr>
              <w:t>Points forts/faibles</w:t>
            </w:r>
            <w:r/>
            <w:bookmarkStart w:id="0" w:name="_GoBack"/>
            <w:bookmarkEnd w:id="0"/>
            <w:r/>
            <w:r>
              <w:rPr>
                <w:b/>
                <w:i/>
                <w:color w:val="000000"/>
                <w:sz w:val="24"/>
                <w:szCs w:val="44"/>
                <w:lang w:eastAsia="ja-jp"/>
              </w:rPr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0" w:hRule="auto"/>
        </w:trPr>
        <w:tc>
          <w:tcPr>
            <w:tcW w:w="14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/>
        </w:tc>
        <w:tc>
          <w:tcPr>
            <w:tcW w:w="2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rPr>
                <w:b/>
                <w:color w:val="000000"/>
                <w:sz w:val="24"/>
                <w:szCs w:val="44"/>
                <w:lang w:eastAsia="ja-jp"/>
              </w:rPr>
            </w:pPr>
            <w:r>
              <w:rPr>
                <w:b/>
                <w:color w:val="000000"/>
                <w:sz w:val="24"/>
                <w:szCs w:val="44"/>
                <w:lang w:eastAsia="ja-jp"/>
              </w:rPr>
              <w:t>Formes d’évaluation :  formative/auto-évaluation/entretien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0" w:hRule="auto"/>
        </w:trPr>
        <w:tc>
          <w:tcPr>
            <w:tcW w:w="14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/>
        </w:tc>
        <w:tc>
          <w:tcPr>
            <w:tcW w:w="2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rPr>
                <w:b/>
                <w:color w:val="000000"/>
                <w:sz w:val="24"/>
                <w:szCs w:val="44"/>
                <w:lang w:eastAsia="ja-jp"/>
              </w:rPr>
            </w:pPr>
            <w:r>
              <w:rPr>
                <w:b/>
                <w:color w:val="000000"/>
                <w:sz w:val="24"/>
                <w:szCs w:val="44"/>
                <w:lang w:eastAsia="ja-jp"/>
              </w:rPr>
              <w:t>Pistes d’amélioration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8368878" protected="0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rPr>
          <w:color w:val="000000"/>
        </w:rPr>
      </w:pPr>
      <w:r>
        <w:rPr>
          <w:color w:val="00000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7" w:top="1417" w:right="1417" w:bottom="1417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Calibri">
    <w:charset w:val="00"/>
    <w:family w:val="swiss"/>
    <w:pitch w:val="default"/>
  </w:font>
  <w:font w:name="Times New Roman">
    <w:charset w:val="00"/>
    <w:family w:val="roman"/>
    <w:pitch w:val="default"/>
  </w:font>
  <w:font w:name="Calibri Light"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eau" w:pos="below" w:numFmt="decimal"/>
    <w:caption w:name="Illustration" w:pos="below" w:numFmt="decimal"/>
    <w:caption w:name="Imag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23"/>
    <w:tmLastPosCaret>
      <w:tmLastPosPgfIdx w:val="6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48368878" w:val="944" w:fileVer="341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Basic Roman"/>
        <w:sz w:val="22"/>
        <w:szCs w:val="22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160" w:line="259" w:lineRule="auto"/>
    </w:pPr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sz w:val="22"/>
        <w:szCs w:val="22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160" w:line="259" w:lineRule="auto"/>
    </w:pPr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rev.944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Bruneau</dc:creator>
  <cp:keywords/>
  <dc:description/>
  <cp:lastModifiedBy>GLEIZES Thomas</cp:lastModifiedBy>
  <cp:revision>3</cp:revision>
  <dcterms:created xsi:type="dcterms:W3CDTF">2018-11-04T20:00:00Z</dcterms:created>
  <dcterms:modified xsi:type="dcterms:W3CDTF">2019-01-24T22:27:58Z</dcterms:modified>
</cp:coreProperties>
</file>